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d73cb3f24402c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16787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STROJARSKA TEHNIČKA ŠKOLA FRANA BOŠNJAKOVIĆA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529.193,59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589.144,64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111,3</w:t>
            </w:r>
          </w:p>
        </w:tc>
      </w:tr>
    </w:tbl>
    <w:p>
      <w:pPr>
        <w:spacing w:before="0" w:after="0"/>
      </w:pPr>
    </w:p>
    <w:p>
      <w:r>
        <w:t xml:space="preserve">Povećanje na kontu 6361 u odnosu na isto razdoblje 2025. rezultat je rasta osnovice za obračun plaća u javnim službama, uključujući puni učinak povećanja iz 2025. te daljnje povećanje osnovice od travnja 2026., kao i pripadajućih dodataka i ostalih prava zaposlenika.</w:t>
      </w:r>
      <w:r>
        <w:br/>
      </w:r>
      <w:r>
        <w:t xml:space="preserve"> </w:t>
      </w:r>
      <w:r>
        <w:br/>
      </w:r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824,61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2.690,04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326,2</w:t>
            </w:r>
          </w:p>
        </w:tc>
      </w:tr>
    </w:tbl>
    <w:p>
      <w:pPr>
        <w:spacing w:before="0" w:after="0"/>
      </w:pPr>
    </w:p>
    <w:p>
      <w:r>
        <w:t xml:space="preserve">Povećanje ostalih nespomenutih prihoda najvećim se dijelom odnosi na refundacije osiguranja po odštetnim zahtjevima za lom i oštećenje stakla te na prihode od izdavanja duplikata svjedodžbi.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181,7</w:t>
            </w:r>
          </w:p>
        </w:tc>
      </w:tr>
    </w:tbl>
    <w:p>
      <w:pPr>
        <w:spacing w:before="0" w:after="0"/>
      </w:pPr>
    </w:p>
    <w:p>
      <w:r>
        <w:t xml:space="preserve">Povećanje tekućih donacija u odnosu na isto razdoblje prethodne godine odnosi se na veći iznos donacija trgovačkih društava, namijenjenih ponajprije pokriću troškova dnevnica povezanih s organiziranim putovanjima.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65.941,09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85.217,98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129,2</w:t>
            </w:r>
          </w:p>
        </w:tc>
      </w:tr>
    </w:tbl>
    <w:p>
      <w:pPr>
        <w:spacing w:before="0" w:after="0"/>
      </w:pPr>
    </w:p>
    <w:p>
      <w:r>
        <w:t xml:space="preserve">Povećanje prihoda odnosi se na veći iznos sredstava doznačenih iz proračuna Grada Zagreba za financiranje rashoda poslovanja. Sredstva su namijenjena za plaće pomoćnika u nastavi, prijevoz učenika i zaposlenika, energiju, materijalne rashode, održavanje, osiguranje, sistematske preglede, naknade školskom odboru i ostale troškove redovne djelatnosti.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10.864,29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izvještajnom razdoblju iz proračuna Grada Zagreba doznačeno je 10.864,29 eura za nabavu nefinancijske imovine, od čega 7.868,29 eura za opremu za modularnu nastavu i 2.996,00 eura za provedbu projekta participativnog budžetiranja učenika.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prekovremeni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19.201,12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29.752,24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155,0</w:t>
            </w:r>
          </w:p>
        </w:tc>
      </w:tr>
    </w:tbl>
    <w:p>
      <w:pPr>
        <w:spacing w:before="0" w:after="0"/>
      </w:pPr>
    </w:p>
    <w:p>
      <w:r>
        <w:t xml:space="preserve">Povećanje rashoda za prekovremeni rad posljedica je većeg broja zamjena za odsutne zaposlenike te trajnog prekovremenog rada radi osiguravanja kontinuiteta i redovitog izvođenja nastave.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17.186,33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20.511,28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119,3</w:t>
            </w:r>
          </w:p>
        </w:tc>
      </w:tr>
    </w:tbl>
    <w:p>
      <w:pPr>
        <w:spacing w:before="0" w:after="0"/>
      </w:pPr>
    </w:p>
    <w:p>
      <w:r>
        <w:t xml:space="preserve">Povećanje ostalih rashoda za zaposlene posljedica je isplate regresa, uskrsnica i jubilarnih nagrada, otpremnine zbog odlaska zaposlenice u mirovinu te potpora zaposlenicima zbog dugotrajnog bolovanja.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66,7</w:t>
            </w:r>
          </w:p>
        </w:tc>
      </w:tr>
    </w:tbl>
    <w:p>
      <w:pPr>
        <w:spacing w:before="0" w:after="0"/>
      </w:pPr>
    </w:p>
    <w:p>
      <w:r>
        <w:t xml:space="preserve">Smanjenje rashoda za stručno usavršavanje zaposlenika posljedica je manjeg opsega edukacija i kotizacija ostvarenih u izvještajnom razdoblju u odnosu na isto razdoblje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3.768,80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7.751,49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205,7</w:t>
            </w:r>
          </w:p>
        </w:tc>
      </w:tr>
    </w:tbl>
    <w:p>
      <w:pPr>
        <w:spacing w:before="0" w:after="0"/>
      </w:pPr>
    </w:p>
    <w:p>
      <w:r>
        <w:t xml:space="preserve">Rashodi za uredski materijal i ostale materijalne rashode povećani su za 105,7 % u odnosu na isto razdoblje prethodne godine, ponajprije zbog nabave uredskog materijala, sredstava za čišćenje, materijala za higijenske potrebe i njegu te ostalog materijala potrebnog za redovno poslovanje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6.520,47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1,1</w:t>
            </w:r>
          </w:p>
        </w:tc>
      </w:tr>
    </w:tbl>
    <w:p>
      <w:pPr>
        <w:spacing w:before="0" w:after="0"/>
      </w:pPr>
    </w:p>
    <w:p>
      <w:r>
        <w:t xml:space="preserve">Smanjenje rashoda za materijal i sirovine od 98,9 % posljedica je toga što su računi za nabavu materijala za praktičnu nastavu iz sredstava pojačanog standarda evidentirani u prethodnoj poslovnoj godini, dok su u tekućem izvještajnom razdoblju ostvarene samo manje nabave.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17.862,02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21.046,77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117,8</w:t>
            </w:r>
          </w:p>
        </w:tc>
      </w:tr>
    </w:tbl>
    <w:p>
      <w:pPr>
        <w:spacing w:before="0" w:after="0"/>
      </w:pPr>
    </w:p>
    <w:p>
      <w:r>
        <w:t xml:space="preserve">Povećanje rashoda za energiju od 17,8 % u odnosu na isto razdoblje prethodne godine posljedica je rasta cijena električne i toplinske energije tijekom izvještajnog razdoblja.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1.388,34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za sitni inventar odnose se na nabavu bojlera, dozatora za sapun, rolo zavjese, otirača te škara za živicu, namijenjenih redovnom održavanju i funkcionalnom uređenju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Službena, radna i zaštitna odjeća i obuća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949,89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420,6</w:t>
            </w:r>
          </w:p>
        </w:tc>
      </w:tr>
    </w:tbl>
    <w:p>
      <w:pPr>
        <w:spacing w:before="0" w:after="0"/>
      </w:pPr>
    </w:p>
    <w:p>
      <w:r>
        <w:t xml:space="preserve">Povećanje rashoda od 320,6 % odnosi se na nabavu radne i zaštitne obuće te sportske odjeće i opreme za potrebe nastave tjelesne i zdravstvene kulture.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404,85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1.450,51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358,3</w:t>
            </w:r>
          </w:p>
        </w:tc>
      </w:tr>
    </w:tbl>
    <w:p>
      <w:pPr>
        <w:spacing w:before="0" w:after="0"/>
      </w:pPr>
    </w:p>
    <w:p>
      <w:r>
        <w:t xml:space="preserve">Povećanje rashoda od 258,3 % u odnosu na isto razdoblje prethodne godine posljedica je nešto viših troškova telefonskih i poštanskih usluga te iskazanih troškova prijevoza učenika nastalih u okviru provedbe projekta Dalekovod.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15.543,06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24.197,94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155,7</w:t>
            </w:r>
          </w:p>
        </w:tc>
      </w:tr>
    </w:tbl>
    <w:p>
      <w:pPr>
        <w:spacing w:before="0" w:after="0"/>
      </w:pPr>
    </w:p>
    <w:p>
      <w:r>
        <w:t xml:space="preserve">Povećanje rashoda za usluge tekućeg i investicijskog održavanja od 55,7 % posljedica je većeg opsega radova na školskom objektu i opremi, uključujući sanaciju stropa, popravak tokarskog stroja, građevinske i staklarske radove, servis printera i sanitarne opreme te izradu pleksi stola.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5.487,01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2.039,37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37,2</w:t>
            </w:r>
          </w:p>
        </w:tc>
      </w:tr>
    </w:tbl>
    <w:p>
      <w:pPr>
        <w:spacing w:before="0" w:after="0"/>
      </w:pPr>
    </w:p>
    <w:p>
      <w:r>
        <w:t xml:space="preserve">Smanjenje rashoda za komunalne usluge od 62,8 % posljedica je izostanka izvanrednog troška vode koji je u prethodnom izvještajnom razdoblju nastao zbog puknuća vodovodne cijevi.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894,83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4.789,37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535,2</w:t>
            </w:r>
          </w:p>
        </w:tc>
      </w:tr>
    </w:tbl>
    <w:p>
      <w:pPr>
        <w:spacing w:before="0" w:after="0"/>
      </w:pPr>
    </w:p>
    <w:p>
      <w:r>
        <w:t xml:space="preserve">Povećanje rashoda za intelektualne i osobne usluge od 435,2 % posljedica je angažiranja vanjskih suradnika za obavljanje računovodstvenih poslova, izradu financijskih izvještaja i obračun plaća u razdoblju nakon odlaska dotadašnje voditeljice računovodstva u mirovinu do zapošljavanja nove voditeljice računovodstva, kao i troškova stručne podrške projektu e-Tehničar te odvjetničkih i pravno-savjetodavnih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794,25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2.249,23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283,2</w:t>
            </w:r>
          </w:p>
        </w:tc>
      </w:tr>
    </w:tbl>
    <w:p>
      <w:pPr>
        <w:spacing w:before="0" w:after="0"/>
      </w:pPr>
    </w:p>
    <w:p>
      <w:r>
        <w:t xml:space="preserve">Povećanje rashoda za računalne usluge od 183,2 % posljedica je većeg opsega informatičke podrške i digitalizacije poslovanja, uključujući tehničku podršku i migraciju podataka, instalaciju i održavanje programa, aplikaciju za evidenciju radnog vremena, modul iTransparentnost, ažuriranje računalnih baza te korištenje ChatGPT pretplate.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1.341,09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2.512,98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187,4</w:t>
            </w:r>
          </w:p>
        </w:tc>
      </w:tr>
    </w:tbl>
    <w:p>
      <w:pPr>
        <w:spacing w:before="0" w:after="0"/>
      </w:pPr>
    </w:p>
    <w:p>
      <w:r>
        <w:t xml:space="preserve">Povećanje rashoda za naknade članovima Školskog odbora od 87,4 % posljedica je primjene povećane naknade od 90,00 eura neto po sjednici kojoj član prisustvuje, utvrđene Zaključkom o izmjeni Zaključka o naknadi predsjednicima i članovima tijela upravljanja ustanova kojih je osnivač Grad Zagreb, koji se primjenjuje od 1. listopada 2025. U usporednom razdoblju prethodne godine primjenjivao se niži iznos naknade.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188,76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208,79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110,6</w:t>
            </w:r>
          </w:p>
        </w:tc>
      </w:tr>
    </w:tbl>
    <w:p>
      <w:pPr>
        <w:spacing w:before="0" w:after="0"/>
      </w:pPr>
    </w:p>
    <w:p>
      <w:r>
        <w:t xml:space="preserve">Povećanje rashoda za reprezentaciju od 10,6 % odnosi se na nešto veće troškove prigodnog posluženja za potrebe službenih sastanaka, posjeta predstavnika Grada Zagreba i drugih poslovnih partnera te aktivnosti predstavljanja Škole.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Članarine i norme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350,0</w:t>
            </w:r>
          </w:p>
        </w:tc>
      </w:tr>
    </w:tbl>
    <w:p>
      <w:pPr>
        <w:spacing w:before="0" w:after="0"/>
      </w:pPr>
    </w:p>
    <w:p>
      <w:r>
        <w:t xml:space="preserve">Povećanje rashoda za članarine i norme od 250,0 % posljedica je podmirenja godišnjih članarina za 2026. godinu u dvije strukovne udruge, dok je u istom razdoblju prethodne godine bila evidentirana samo jedna članarina.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1.172,83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1.470,02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125,3</w:t>
            </w:r>
          </w:p>
        </w:tc>
      </w:tr>
    </w:tbl>
    <w:p>
      <w:pPr>
        <w:spacing w:before="0" w:after="0"/>
      </w:pPr>
    </w:p>
    <w:p>
      <w:r>
        <w:t xml:space="preserve">Povećanje rashoda za pristojbe i naknade od 25,3 % odnosi se na višu novčanu naknadu zbog neispunjenja obveze kvotnog zapošljavanja osoba s invaliditetom, uslijed povećanja minimalne plaće za 2026. godinu, sukladno NN 151/2024 i NN 132/2025.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481,32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132,3</w:t>
            </w:r>
          </w:p>
        </w:tc>
      </w:tr>
    </w:tbl>
    <w:p>
      <w:pPr>
        <w:spacing w:before="0" w:after="0"/>
      </w:pPr>
    </w:p>
    <w:p>
      <w:r>
        <w:t xml:space="preserve">Povećanje ostalih nespomenutih rashoda poslovanja od 32,3 % odnosi se na troškove službenog puta financiranog iz donacija, nabavu medalja i prigodnog materijala za obilježavanje Dana škole te nagrade i poklone učenicima.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341,32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380,92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111,6</w:t>
            </w:r>
          </w:p>
        </w:tc>
      </w:tr>
    </w:tbl>
    <w:p>
      <w:pPr>
        <w:spacing w:before="0" w:after="0"/>
      </w:pPr>
    </w:p>
    <w:p>
      <w:r>
        <w:t xml:space="preserve">Povećanje financijskih rashoda od 11,6 % odnosi se na nešto više troškove bankarskih usluga i naknada za vođenje računa i platni promet, uključujući i troškove povezane s uvođenjem dvostrukog potpisa.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1.042,48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105,6</w:t>
            </w:r>
          </w:p>
        </w:tc>
      </w:tr>
    </w:tbl>
    <w:p>
      <w:pPr>
        <w:spacing w:before="0" w:after="0"/>
      </w:pPr>
    </w:p>
    <w:p>
      <w:r>
        <w:t xml:space="preserve">Povećanje rashoda za uredsku opremu i namještaj od 5,6 % odnosi se na nabavu računala, uredskih polica i ormara za potrebe računovodstva te skenera za redovno poslovanje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12.187,75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5.928,63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48,6</w:t>
            </w:r>
          </w:p>
        </w:tc>
      </w:tr>
    </w:tbl>
    <w:p>
      <w:pPr>
        <w:spacing w:before="0" w:after="0"/>
      </w:pPr>
    </w:p>
    <w:p>
      <w:r>
        <w:t xml:space="preserve">Smanjenje rashoda za uređaje, strojeve i opremu za ostale namjene od 51,4 % posljedica je manjeg opsega nabave u odnosu na isto razdoblje prethodne godine, kada je nabavljen CNC stroj za praktičnu nastavu. U tekućem izvještajnom razdoblju nabavljeni su didaktička proizvodna linija sa simulacijskom opremom te AI kamera 2.0 za obrazovni robot mBot2, za potrebe praktične nastave i razvoja digitalnih i robotičkih kompetencija učenika.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88.224,06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4.676,66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5,3</w:t>
            </w:r>
          </w:p>
        </w:tc>
      </w:tr>
    </w:tbl>
    <w:p>
      <w:pPr>
        <w:spacing w:before="0" w:after="0"/>
      </w:pPr>
    </w:p>
    <w:p>
      <w:r>
        <w:t xml:space="preserve">Iskazani manjak prihoda i primitaka metodološke je naravi te proizlazi iz vremenskog nepodudaranja evidentiranja rashoda i primitka namjenskih sredstava za njihovo financiranje. U izvještajnom razdoblju evidentirani su rashodi za plaće zaposlenika i pomoćnika u nastavi za lipanj 2026., prijevoz, projekt e-Tehničar, naknadu zbog neispunjenja obveze kvotnog zapošljavanja osoba s invaliditetom te računi s dospijećem nakon 30. lipnja 2026. Sredstva za pokriće navedenih rashoda bit će doznačena nakon 1. srpnja 2026. od Ministarstva znanosti, obrazovanja i mladih te Gradskog ureda za obrazovanje, sport i mlade.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9222-9221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- preneseni (šifre '9221x,9222x MP' - '9221x,9222x VP' + 92223 - 92213)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9222-9221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74.008,89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Preneseni manjak prihoda od nefinancijske imovine na početku izvještajnog razdoblja iznosio je 75.675,24 eura. Na temelju Odluke o raspodjeli rezultata, KLASA: 400-01/26-01/1, URBROJ: 251-284-26-1, provedeno je knjiženje u iznosu od 1.666,35 eura, čime je preneseni manjak smanjen na 74.008,89 eura.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46.242,71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78.685,55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170,2</w:t>
            </w:r>
          </w:p>
        </w:tc>
      </w:tr>
    </w:tbl>
    <w:p>
      <w:pPr>
        <w:spacing w:before="0" w:after="0"/>
      </w:pPr>
    </w:p>
    <w:p>
      <w:r>
        <w:t xml:space="preserve">Manjak prihoda i primitaka za pokriće u sljedećem razdoblju u iznosu od 78.685,55 eura sastoji se od prenesenog manjka prihoda od nefinancijske imovine u iznosu od 74.008,89 eura i manjka ostvarenog u tekućem izvještajnom razdoblju u iznosu od 4.676,66 eura. Tekući manjak metodološke je naravi i proizlazi iz vremenskog nepodudaranja evidentiranja rashoda i doznačavanja namjenskih sredstava za njihovo financiranje.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dan 30. lipnja 2026. Škola nema dospjelih nepodmirenih obveza, odnosno sve obveze dospjele do kraja izvještajnog razdoblja podmirene su u propisanim rokovima.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114.885,43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na dan 30. lipnja 2026. odnosi se na plaću za lipanj 2026., s dospijećem 9. srpnja 2026., pripadajuću naknadu zbog neispunjenja obveze kvotnog zapošljavanja osoba s invaliditetom, plaće pomoćnika u nastavi, obveze za projekt e-Tehničar, naknade troškova prijevoza zaposlenika te obveze prema dobavljačima, čiji rokovi dospijeća nastupaju nakon završetka izvještajnog razdoblja.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d589db700444f6a" /></Relationships>
</file>